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719A61" w14:textId="77777777" w:rsidR="00BF43E3" w:rsidRDefault="00BF43E3" w:rsidP="00BF43E3">
      <w:pPr>
        <w:jc w:val="both"/>
        <w:rPr>
          <w:sz w:val="44"/>
          <w:szCs w:val="44"/>
        </w:rPr>
      </w:pPr>
    </w:p>
    <w:p w14:paraId="6240F206" w14:textId="77777777" w:rsidR="00BF43E3" w:rsidRDefault="00BF43E3" w:rsidP="00BF43E3">
      <w:pPr>
        <w:jc w:val="both"/>
        <w:rPr>
          <w:sz w:val="44"/>
          <w:szCs w:val="44"/>
        </w:rPr>
      </w:pPr>
    </w:p>
    <w:p w14:paraId="7005179D" w14:textId="407FBCF0" w:rsidR="00BF43E3" w:rsidRPr="00BF43E3" w:rsidRDefault="00BF43E3" w:rsidP="00BF43E3">
      <w:pPr>
        <w:jc w:val="both"/>
        <w:rPr>
          <w:sz w:val="44"/>
          <w:szCs w:val="44"/>
        </w:rPr>
      </w:pPr>
      <w:r w:rsidRPr="00BF43E3">
        <w:rPr>
          <w:sz w:val="44"/>
          <w:szCs w:val="44"/>
        </w:rPr>
        <w:t>Tentative Agenda Decision and comment letters:</w:t>
      </w:r>
    </w:p>
    <w:p w14:paraId="2914AFE7" w14:textId="43E919ED" w:rsidR="00BF43E3" w:rsidRDefault="00BF43E3" w:rsidP="00BF43E3">
      <w:pPr>
        <w:jc w:val="both"/>
        <w:rPr>
          <w:sz w:val="44"/>
          <w:szCs w:val="44"/>
        </w:rPr>
      </w:pPr>
      <w:r w:rsidRPr="00BF43E3">
        <w:rPr>
          <w:sz w:val="44"/>
          <w:szCs w:val="44"/>
        </w:rPr>
        <w:t xml:space="preserve">Economic Benefits from Use of a Battery under an </w:t>
      </w:r>
      <w:r w:rsidR="006D66B3" w:rsidRPr="00BF43E3">
        <w:rPr>
          <w:sz w:val="44"/>
          <w:szCs w:val="44"/>
        </w:rPr>
        <w:t>Off</w:t>
      </w:r>
      <w:r w:rsidR="006D66B3">
        <w:rPr>
          <w:sz w:val="44"/>
          <w:szCs w:val="44"/>
        </w:rPr>
        <w:t>-take</w:t>
      </w:r>
      <w:r>
        <w:rPr>
          <w:sz w:val="44"/>
          <w:szCs w:val="44"/>
        </w:rPr>
        <w:t xml:space="preserve"> </w:t>
      </w:r>
      <w:r w:rsidRPr="00BF43E3">
        <w:rPr>
          <w:sz w:val="44"/>
          <w:szCs w:val="44"/>
        </w:rPr>
        <w:t>Arrangement</w:t>
      </w:r>
      <w:r w:rsidRPr="00BF43E3">
        <w:rPr>
          <w:sz w:val="44"/>
          <w:szCs w:val="44"/>
        </w:rPr>
        <w:t xml:space="preserve"> (IFRS 16)</w:t>
      </w:r>
    </w:p>
    <w:p w14:paraId="7D290AF3" w14:textId="77777777" w:rsidR="00BF43E3" w:rsidRDefault="00BF43E3" w:rsidP="00BF43E3">
      <w:pPr>
        <w:jc w:val="both"/>
        <w:rPr>
          <w:sz w:val="44"/>
          <w:szCs w:val="44"/>
        </w:rPr>
      </w:pPr>
    </w:p>
    <w:p w14:paraId="20F1C276" w14:textId="77777777" w:rsidR="00BF43E3" w:rsidRDefault="00BF43E3" w:rsidP="00BF43E3">
      <w:pPr>
        <w:jc w:val="both"/>
        <w:rPr>
          <w:sz w:val="44"/>
          <w:szCs w:val="44"/>
        </w:rPr>
      </w:pPr>
    </w:p>
    <w:p w14:paraId="11B4D6E2" w14:textId="77777777" w:rsidR="00BF43E3" w:rsidRDefault="00BF43E3" w:rsidP="00BF43E3">
      <w:pPr>
        <w:jc w:val="both"/>
        <w:rPr>
          <w:sz w:val="44"/>
          <w:szCs w:val="44"/>
        </w:rPr>
      </w:pPr>
    </w:p>
    <w:p w14:paraId="780C2CBE" w14:textId="77777777" w:rsidR="00BF43E3" w:rsidRDefault="00BF43E3" w:rsidP="00BF43E3">
      <w:pPr>
        <w:jc w:val="both"/>
        <w:rPr>
          <w:sz w:val="44"/>
          <w:szCs w:val="44"/>
        </w:rPr>
      </w:pPr>
    </w:p>
    <w:p w14:paraId="34A8327D" w14:textId="77777777" w:rsidR="00BF43E3" w:rsidRDefault="00BF43E3" w:rsidP="00BF43E3">
      <w:pPr>
        <w:jc w:val="both"/>
        <w:rPr>
          <w:sz w:val="44"/>
          <w:szCs w:val="44"/>
        </w:rPr>
      </w:pPr>
    </w:p>
    <w:p w14:paraId="775C3ACB" w14:textId="77777777" w:rsidR="00BF43E3" w:rsidRDefault="00BF43E3" w:rsidP="00BF43E3">
      <w:pPr>
        <w:jc w:val="both"/>
        <w:rPr>
          <w:sz w:val="44"/>
          <w:szCs w:val="44"/>
        </w:rPr>
      </w:pPr>
    </w:p>
    <w:p w14:paraId="7C4BF0AE" w14:textId="77777777" w:rsidR="00BF43E3" w:rsidRDefault="00BF43E3" w:rsidP="00BF43E3">
      <w:pPr>
        <w:jc w:val="both"/>
        <w:rPr>
          <w:sz w:val="44"/>
          <w:szCs w:val="44"/>
        </w:rPr>
      </w:pPr>
    </w:p>
    <w:p w14:paraId="7A5DC8F1" w14:textId="77777777" w:rsidR="00BF43E3" w:rsidRDefault="00BF43E3" w:rsidP="00BF43E3">
      <w:pPr>
        <w:jc w:val="both"/>
        <w:rPr>
          <w:sz w:val="44"/>
          <w:szCs w:val="44"/>
        </w:rPr>
      </w:pPr>
    </w:p>
    <w:p w14:paraId="4E51722B" w14:textId="77777777" w:rsidR="00BF43E3" w:rsidRDefault="00BF43E3" w:rsidP="00BF43E3">
      <w:pPr>
        <w:jc w:val="both"/>
        <w:rPr>
          <w:sz w:val="44"/>
          <w:szCs w:val="44"/>
        </w:rPr>
      </w:pPr>
    </w:p>
    <w:p w14:paraId="7B98BEF3" w14:textId="77777777" w:rsidR="00BF43E3" w:rsidRDefault="00BF43E3" w:rsidP="00BF43E3">
      <w:pPr>
        <w:jc w:val="both"/>
        <w:rPr>
          <w:sz w:val="44"/>
          <w:szCs w:val="44"/>
        </w:rPr>
      </w:pPr>
    </w:p>
    <w:p w14:paraId="62163B09" w14:textId="77777777" w:rsidR="00BF43E3" w:rsidRDefault="00BF43E3" w:rsidP="00BF43E3">
      <w:pPr>
        <w:jc w:val="both"/>
        <w:rPr>
          <w:sz w:val="44"/>
          <w:szCs w:val="44"/>
        </w:rPr>
      </w:pPr>
    </w:p>
    <w:p w14:paraId="7CAF3F43" w14:textId="77777777" w:rsidR="00BF43E3" w:rsidRDefault="00BF43E3" w:rsidP="00BF43E3">
      <w:pPr>
        <w:jc w:val="both"/>
        <w:rPr>
          <w:sz w:val="44"/>
          <w:szCs w:val="44"/>
        </w:rPr>
      </w:pPr>
    </w:p>
    <w:p w14:paraId="2711D411" w14:textId="77777777" w:rsidR="00BF43E3" w:rsidRPr="00BF43E3" w:rsidRDefault="00BF43E3" w:rsidP="00BF43E3">
      <w:pPr>
        <w:jc w:val="both"/>
        <w:rPr>
          <w:sz w:val="28"/>
          <w:szCs w:val="28"/>
        </w:rPr>
      </w:pPr>
    </w:p>
    <w:p w14:paraId="3B558CBD" w14:textId="4169607A" w:rsidR="00BF43E3" w:rsidRDefault="00BF43E3" w:rsidP="00BF43E3">
      <w:pPr>
        <w:jc w:val="both"/>
        <w:rPr>
          <w:sz w:val="28"/>
          <w:szCs w:val="28"/>
        </w:rPr>
      </w:pPr>
      <w:r w:rsidRPr="00BF43E3">
        <w:rPr>
          <w:sz w:val="28"/>
          <w:szCs w:val="28"/>
        </w:rPr>
        <w:lastRenderedPageBreak/>
        <w:t xml:space="preserve">The Committee concluded that the principles and requirements in IFRS Accounting Standards provide an adequate basis for an electricity retailer, as the customer in a battery offtake arrangement as described in the requests, to determine whether it has the right to obtain substantially all of the economic benefits from use of the battery. Consequently, </w:t>
      </w:r>
      <w:bookmarkStart w:id="0" w:name="_Hlk213160105"/>
      <w:r w:rsidRPr="00BF43E3">
        <w:rPr>
          <w:sz w:val="28"/>
          <w:szCs w:val="28"/>
        </w:rPr>
        <w:t>the Committee [decided] not to add a standard-setting project to the work plan</w:t>
      </w:r>
      <w:r>
        <w:rPr>
          <w:sz w:val="28"/>
          <w:szCs w:val="28"/>
        </w:rPr>
        <w:t>.</w:t>
      </w:r>
      <w:bookmarkEnd w:id="0"/>
    </w:p>
    <w:p w14:paraId="34676710" w14:textId="0B922FA7" w:rsidR="00BF43E3" w:rsidRDefault="00BF43E3" w:rsidP="00BF43E3">
      <w:pPr>
        <w:jc w:val="both"/>
        <w:rPr>
          <w:b/>
          <w:bCs/>
          <w:sz w:val="28"/>
          <w:szCs w:val="28"/>
          <w:u w:val="single"/>
        </w:rPr>
      </w:pPr>
      <w:r w:rsidRPr="00BF43E3">
        <w:rPr>
          <w:b/>
          <w:bCs/>
          <w:sz w:val="28"/>
          <w:szCs w:val="28"/>
          <w:u w:val="single"/>
        </w:rPr>
        <w:t>Comments</w:t>
      </w:r>
    </w:p>
    <w:p w14:paraId="78AC28EE" w14:textId="0A9894E9" w:rsidR="00BF43E3" w:rsidRPr="006D66B3" w:rsidRDefault="00E00450" w:rsidP="00BF43E3">
      <w:pPr>
        <w:jc w:val="both"/>
        <w:rPr>
          <w:b/>
          <w:bCs/>
          <w:color w:val="0070C0"/>
          <w:sz w:val="28"/>
          <w:szCs w:val="28"/>
        </w:rPr>
      </w:pPr>
      <w:r w:rsidRPr="006D66B3">
        <w:rPr>
          <w:b/>
          <w:bCs/>
          <w:color w:val="0070C0"/>
          <w:sz w:val="28"/>
          <w:szCs w:val="28"/>
        </w:rPr>
        <w:t xml:space="preserve">SIRC of ICAI agrees that </w:t>
      </w:r>
      <w:r w:rsidRPr="006D66B3">
        <w:rPr>
          <w:b/>
          <w:bCs/>
          <w:color w:val="0070C0"/>
          <w:sz w:val="28"/>
          <w:szCs w:val="28"/>
        </w:rPr>
        <w:t xml:space="preserve">the Committee </w:t>
      </w:r>
      <w:r w:rsidRPr="006D66B3">
        <w:rPr>
          <w:b/>
          <w:bCs/>
          <w:color w:val="0070C0"/>
          <w:sz w:val="28"/>
          <w:szCs w:val="28"/>
        </w:rPr>
        <w:t>need</w:t>
      </w:r>
      <w:r w:rsidRPr="006D66B3">
        <w:rPr>
          <w:b/>
          <w:bCs/>
          <w:color w:val="0070C0"/>
          <w:sz w:val="28"/>
          <w:szCs w:val="28"/>
        </w:rPr>
        <w:t xml:space="preserve"> not to add a standard-setting project to the work plan.</w:t>
      </w:r>
      <w:r w:rsidRPr="006D66B3">
        <w:rPr>
          <w:b/>
          <w:bCs/>
          <w:color w:val="0070C0"/>
          <w:sz w:val="28"/>
          <w:szCs w:val="28"/>
        </w:rPr>
        <w:t xml:space="preserve"> At the same time, the following issues are to be addressed before finalizing the IFRS16: </w:t>
      </w:r>
    </w:p>
    <w:p w14:paraId="66EB8842" w14:textId="357B5BA3" w:rsidR="00BF43E3" w:rsidRPr="006D66B3" w:rsidRDefault="00BF43E3" w:rsidP="00BF43E3">
      <w:pPr>
        <w:jc w:val="both"/>
        <w:rPr>
          <w:b/>
          <w:bCs/>
          <w:color w:val="0070C0"/>
          <w:sz w:val="28"/>
          <w:szCs w:val="28"/>
        </w:rPr>
      </w:pPr>
      <w:r w:rsidRPr="006D66B3">
        <w:rPr>
          <w:b/>
          <w:bCs/>
          <w:color w:val="0070C0"/>
          <w:sz w:val="28"/>
          <w:szCs w:val="28"/>
        </w:rPr>
        <w:t>Two questions were discussed in a</w:t>
      </w:r>
      <w:r w:rsidRPr="006D66B3">
        <w:rPr>
          <w:b/>
          <w:bCs/>
          <w:color w:val="0070C0"/>
          <w:sz w:val="28"/>
          <w:szCs w:val="28"/>
        </w:rPr>
        <w:t>pplying IFRS 16 to the fact pattern</w:t>
      </w:r>
      <w:r w:rsidR="001850B0" w:rsidRPr="006D66B3">
        <w:rPr>
          <w:b/>
          <w:bCs/>
          <w:color w:val="0070C0"/>
          <w:sz w:val="28"/>
          <w:szCs w:val="28"/>
        </w:rPr>
        <w:t xml:space="preserve"> and </w:t>
      </w:r>
      <w:r w:rsidR="00E00450" w:rsidRPr="006D66B3">
        <w:rPr>
          <w:b/>
          <w:bCs/>
          <w:color w:val="0070C0"/>
          <w:sz w:val="28"/>
          <w:szCs w:val="28"/>
        </w:rPr>
        <w:t xml:space="preserve">hence </w:t>
      </w:r>
      <w:r w:rsidR="007E58BB" w:rsidRPr="006D66B3">
        <w:rPr>
          <w:b/>
          <w:bCs/>
          <w:color w:val="0070C0"/>
          <w:sz w:val="28"/>
          <w:szCs w:val="28"/>
        </w:rPr>
        <w:t xml:space="preserve">SIRC of ICAI </w:t>
      </w:r>
      <w:r w:rsidR="001850B0" w:rsidRPr="006D66B3">
        <w:rPr>
          <w:b/>
          <w:bCs/>
          <w:color w:val="0070C0"/>
          <w:sz w:val="28"/>
          <w:szCs w:val="28"/>
        </w:rPr>
        <w:t>comment</w:t>
      </w:r>
      <w:r w:rsidR="007E58BB" w:rsidRPr="006D66B3">
        <w:rPr>
          <w:b/>
          <w:bCs/>
          <w:color w:val="0070C0"/>
          <w:sz w:val="28"/>
          <w:szCs w:val="28"/>
        </w:rPr>
        <w:t xml:space="preserve">s </w:t>
      </w:r>
      <w:r w:rsidR="001850B0" w:rsidRPr="006D66B3">
        <w:rPr>
          <w:b/>
          <w:bCs/>
          <w:color w:val="0070C0"/>
          <w:sz w:val="28"/>
          <w:szCs w:val="28"/>
        </w:rPr>
        <w:t>question-wise below</w:t>
      </w:r>
      <w:r w:rsidRPr="006D66B3">
        <w:rPr>
          <w:b/>
          <w:bCs/>
          <w:color w:val="0070C0"/>
          <w:sz w:val="28"/>
          <w:szCs w:val="28"/>
        </w:rPr>
        <w:t>:</w:t>
      </w:r>
    </w:p>
    <w:p w14:paraId="161419F9" w14:textId="1B737F4B" w:rsidR="00BF43E3" w:rsidRPr="006D66B3" w:rsidRDefault="001850B0" w:rsidP="001850B0">
      <w:pPr>
        <w:jc w:val="both"/>
        <w:rPr>
          <w:b/>
          <w:bCs/>
          <w:color w:val="0070C0"/>
          <w:sz w:val="28"/>
          <w:szCs w:val="28"/>
        </w:rPr>
      </w:pPr>
      <w:r w:rsidRPr="006D66B3">
        <w:rPr>
          <w:b/>
          <w:bCs/>
          <w:color w:val="0070C0"/>
          <w:sz w:val="28"/>
          <w:szCs w:val="28"/>
        </w:rPr>
        <w:t xml:space="preserve">1. </w:t>
      </w:r>
      <w:r w:rsidR="00BF43E3" w:rsidRPr="006D66B3">
        <w:rPr>
          <w:b/>
          <w:bCs/>
          <w:color w:val="0070C0"/>
          <w:sz w:val="28"/>
          <w:szCs w:val="28"/>
        </w:rPr>
        <w:t>Does the electricity retailer have the right to obtain substantially all of the economic benefits from use of the battery (paragraph B9(a) of IFRS 16)?</w:t>
      </w:r>
    </w:p>
    <w:p w14:paraId="59A1343D" w14:textId="4844C9E1" w:rsidR="001850B0" w:rsidRPr="006D66B3" w:rsidRDefault="00A7198A" w:rsidP="001850B0">
      <w:pPr>
        <w:jc w:val="both"/>
        <w:rPr>
          <w:b/>
          <w:bCs/>
          <w:color w:val="0070C0"/>
          <w:sz w:val="28"/>
          <w:szCs w:val="28"/>
        </w:rPr>
      </w:pPr>
      <w:r w:rsidRPr="006D66B3">
        <w:rPr>
          <w:b/>
          <w:bCs/>
          <w:color w:val="0070C0"/>
          <w:sz w:val="28"/>
          <w:szCs w:val="28"/>
        </w:rPr>
        <w:t>T</w:t>
      </w:r>
      <w:r w:rsidRPr="006D66B3">
        <w:rPr>
          <w:b/>
          <w:bCs/>
          <w:color w:val="0070C0"/>
          <w:sz w:val="28"/>
          <w:szCs w:val="28"/>
        </w:rPr>
        <w:t>he Committee concluded that the electricity retailer has the right to obtain substantially all of the economic benefits from use of the battery.</w:t>
      </w:r>
    </w:p>
    <w:p w14:paraId="40A1380B" w14:textId="072D570A" w:rsidR="00EB3EA6" w:rsidRPr="006D66B3" w:rsidRDefault="00EB3EA6" w:rsidP="001850B0">
      <w:pPr>
        <w:jc w:val="both"/>
        <w:rPr>
          <w:b/>
          <w:bCs/>
          <w:color w:val="0070C0"/>
          <w:sz w:val="28"/>
          <w:szCs w:val="28"/>
        </w:rPr>
      </w:pPr>
      <w:r w:rsidRPr="006D66B3">
        <w:rPr>
          <w:b/>
          <w:bCs/>
          <w:color w:val="0070C0"/>
          <w:sz w:val="28"/>
          <w:szCs w:val="28"/>
        </w:rPr>
        <w:t>The right to obtain substantially all of the economic benefits from the use of the identified asset includes benefits from primary outputs, by-products, cash flows derived from primary outputs/by-products, and other economic benefits that could be realized from a transaction with a third party.</w:t>
      </w:r>
    </w:p>
    <w:p w14:paraId="1F98FEB8" w14:textId="5C824B53" w:rsidR="00EB3EA6" w:rsidRPr="006D66B3" w:rsidRDefault="00EB3EA6" w:rsidP="001850B0">
      <w:pPr>
        <w:jc w:val="both"/>
        <w:rPr>
          <w:b/>
          <w:bCs/>
          <w:color w:val="0070C0"/>
          <w:sz w:val="28"/>
          <w:szCs w:val="28"/>
        </w:rPr>
      </w:pPr>
      <w:r w:rsidRPr="006D66B3">
        <w:rPr>
          <w:b/>
          <w:bCs/>
          <w:color w:val="0070C0"/>
          <w:sz w:val="28"/>
          <w:szCs w:val="28"/>
        </w:rPr>
        <w:t>Wh</w:t>
      </w:r>
      <w:r w:rsidR="00E00450" w:rsidRPr="006D66B3">
        <w:rPr>
          <w:b/>
          <w:bCs/>
          <w:color w:val="0070C0"/>
          <w:sz w:val="28"/>
          <w:szCs w:val="28"/>
        </w:rPr>
        <w:t>ile</w:t>
      </w:r>
      <w:r w:rsidRPr="006D66B3">
        <w:rPr>
          <w:b/>
          <w:bCs/>
          <w:color w:val="0070C0"/>
          <w:sz w:val="28"/>
          <w:szCs w:val="28"/>
        </w:rPr>
        <w:t xml:space="preserve"> determining if the customer</w:t>
      </w:r>
      <w:r w:rsidRPr="006D66B3">
        <w:rPr>
          <w:b/>
          <w:bCs/>
          <w:color w:val="0070C0"/>
          <w:sz w:val="28"/>
          <w:szCs w:val="28"/>
        </w:rPr>
        <w:t xml:space="preserve"> </w:t>
      </w:r>
      <w:r w:rsidRPr="006D66B3">
        <w:rPr>
          <w:b/>
          <w:bCs/>
          <w:color w:val="0070C0"/>
          <w:sz w:val="28"/>
          <w:szCs w:val="28"/>
        </w:rPr>
        <w:t>has the right to substantially all of the economic benefits of the</w:t>
      </w:r>
      <w:r w:rsidRPr="006D66B3">
        <w:rPr>
          <w:b/>
          <w:bCs/>
          <w:color w:val="0070C0"/>
          <w:sz w:val="28"/>
          <w:szCs w:val="28"/>
        </w:rPr>
        <w:t xml:space="preserve"> Battery Energy Storage System</w:t>
      </w:r>
      <w:r w:rsidRPr="006D66B3">
        <w:rPr>
          <w:b/>
          <w:bCs/>
          <w:color w:val="0070C0"/>
          <w:sz w:val="28"/>
          <w:szCs w:val="28"/>
        </w:rPr>
        <w:t>, it is important to carefully evaluate the terms of the contract. There could be instances where the project owner dispatches energy into the grid from the battery for general consumption when that energy is not needed by the off-taker. If any profits from this type of arrangement are shared or passed to the off-taker, the off-taker could still be receiving substantially all of the benefits of the system. An analysis would need to be done to determine how much, if any, benefits are being shared with another party and the significance of the shared benefits in relation to the total.</w:t>
      </w:r>
    </w:p>
    <w:p w14:paraId="1E2F959A" w14:textId="11C50D50" w:rsidR="007E58BB" w:rsidRPr="006D66B3" w:rsidRDefault="007E58BB" w:rsidP="001850B0">
      <w:pPr>
        <w:jc w:val="both"/>
        <w:rPr>
          <w:b/>
          <w:bCs/>
          <w:color w:val="0070C0"/>
          <w:sz w:val="28"/>
          <w:szCs w:val="28"/>
        </w:rPr>
      </w:pPr>
      <w:r w:rsidRPr="006D66B3">
        <w:rPr>
          <w:b/>
          <w:bCs/>
          <w:color w:val="0070C0"/>
          <w:sz w:val="28"/>
          <w:szCs w:val="28"/>
        </w:rPr>
        <w:lastRenderedPageBreak/>
        <w:t>In view of the above</w:t>
      </w:r>
      <w:r w:rsidR="00E00450" w:rsidRPr="006D66B3">
        <w:rPr>
          <w:b/>
          <w:bCs/>
          <w:color w:val="0070C0"/>
          <w:sz w:val="28"/>
          <w:szCs w:val="28"/>
        </w:rPr>
        <w:t>,</w:t>
      </w:r>
      <w:r w:rsidRPr="006D66B3">
        <w:rPr>
          <w:b/>
          <w:bCs/>
          <w:color w:val="0070C0"/>
          <w:sz w:val="28"/>
          <w:szCs w:val="28"/>
        </w:rPr>
        <w:t xml:space="preserve"> the conclusion of the Committee that </w:t>
      </w:r>
      <w:r w:rsidRPr="007E58BB">
        <w:rPr>
          <w:b/>
          <w:bCs/>
          <w:color w:val="0070C0"/>
          <w:sz w:val="28"/>
          <w:szCs w:val="28"/>
        </w:rPr>
        <w:t xml:space="preserve">the electricity retailer </w:t>
      </w:r>
      <w:r w:rsidR="00E00450" w:rsidRPr="006D66B3">
        <w:rPr>
          <w:b/>
          <w:bCs/>
          <w:color w:val="0070C0"/>
          <w:sz w:val="28"/>
          <w:szCs w:val="28"/>
        </w:rPr>
        <w:t>has</w:t>
      </w:r>
      <w:r w:rsidRPr="007E58BB">
        <w:rPr>
          <w:b/>
          <w:bCs/>
          <w:color w:val="0070C0"/>
          <w:sz w:val="28"/>
          <w:szCs w:val="28"/>
        </w:rPr>
        <w:t xml:space="preserve"> the right to obtain substantially all of the economic benefits from use of the battery</w:t>
      </w:r>
      <w:r w:rsidR="00547898" w:rsidRPr="006D66B3">
        <w:rPr>
          <w:b/>
          <w:bCs/>
          <w:color w:val="0070C0"/>
          <w:sz w:val="28"/>
          <w:szCs w:val="28"/>
        </w:rPr>
        <w:t xml:space="preserve"> has to be suitably qualified.</w:t>
      </w:r>
    </w:p>
    <w:p w14:paraId="3E71F298" w14:textId="5AF83964" w:rsidR="001850B0" w:rsidRPr="001850B0" w:rsidRDefault="001850B0" w:rsidP="001850B0">
      <w:pPr>
        <w:jc w:val="both"/>
        <w:rPr>
          <w:b/>
          <w:bCs/>
          <w:color w:val="0070C0"/>
          <w:sz w:val="28"/>
          <w:szCs w:val="28"/>
        </w:rPr>
      </w:pPr>
    </w:p>
    <w:p w14:paraId="33D8B7FB" w14:textId="0023DFEA" w:rsidR="00BF43E3" w:rsidRPr="006D66B3" w:rsidRDefault="00BF43E3" w:rsidP="00BF43E3">
      <w:pPr>
        <w:jc w:val="both"/>
        <w:rPr>
          <w:b/>
          <w:bCs/>
          <w:color w:val="0070C0"/>
          <w:sz w:val="28"/>
          <w:szCs w:val="28"/>
        </w:rPr>
      </w:pPr>
      <w:r w:rsidRPr="006D66B3">
        <w:rPr>
          <w:b/>
          <w:bCs/>
          <w:color w:val="0070C0"/>
          <w:sz w:val="28"/>
          <w:szCs w:val="28"/>
        </w:rPr>
        <w:t xml:space="preserve">2. </w:t>
      </w:r>
      <w:r w:rsidRPr="006D66B3">
        <w:rPr>
          <w:b/>
          <w:bCs/>
          <w:color w:val="0070C0"/>
          <w:sz w:val="28"/>
          <w:szCs w:val="28"/>
        </w:rPr>
        <w:t>Does the electricity retailer have the right to direct the use of the battery (paragraph B9(b) of IFRS 16)?</w:t>
      </w:r>
    </w:p>
    <w:p w14:paraId="2F9256DA" w14:textId="77777777" w:rsidR="00E5512E" w:rsidRPr="006D66B3" w:rsidRDefault="00E5512E" w:rsidP="00BF43E3">
      <w:pPr>
        <w:jc w:val="both"/>
        <w:rPr>
          <w:b/>
          <w:bCs/>
          <w:color w:val="0070C0"/>
          <w:sz w:val="28"/>
          <w:szCs w:val="28"/>
        </w:rPr>
      </w:pPr>
    </w:p>
    <w:p w14:paraId="45DF0E4D" w14:textId="08DA193C" w:rsidR="00E5512E" w:rsidRPr="006D66B3" w:rsidRDefault="00E5512E" w:rsidP="00BF43E3">
      <w:pPr>
        <w:jc w:val="both"/>
        <w:rPr>
          <w:b/>
          <w:bCs/>
          <w:color w:val="0070C0"/>
          <w:sz w:val="28"/>
          <w:szCs w:val="28"/>
        </w:rPr>
      </w:pPr>
      <w:r w:rsidRPr="006D66B3">
        <w:rPr>
          <w:b/>
          <w:bCs/>
          <w:color w:val="0070C0"/>
          <w:sz w:val="28"/>
          <w:szCs w:val="28"/>
        </w:rPr>
        <w:t>The Committee observed that an entity, in determining whether it has the right to direct the use of an identified asset, considers the terms and conditions of the arrangement and all relevant facts and circumstances. Because the fact pattern described in the requests assumes that the electricity retailer has the right to direct the use of the battery, the Committee did not analyse the application of paragraph B9(b) of IFRS 16 to the fact pattern.</w:t>
      </w:r>
    </w:p>
    <w:p w14:paraId="7F7EC619" w14:textId="62C1AA5F" w:rsidR="00E5512E" w:rsidRPr="00E5512E" w:rsidRDefault="00E5512E" w:rsidP="00E5512E">
      <w:pPr>
        <w:jc w:val="both"/>
        <w:rPr>
          <w:b/>
          <w:bCs/>
          <w:color w:val="0070C0"/>
          <w:sz w:val="28"/>
          <w:szCs w:val="28"/>
        </w:rPr>
      </w:pPr>
      <w:r w:rsidRPr="00E5512E">
        <w:rPr>
          <w:b/>
          <w:bCs/>
          <w:color w:val="0070C0"/>
          <w:sz w:val="28"/>
          <w:szCs w:val="28"/>
        </w:rPr>
        <w:t>Factors that could indicate the </w:t>
      </w:r>
      <w:r w:rsidR="00E00450" w:rsidRPr="006D66B3">
        <w:rPr>
          <w:b/>
          <w:bCs/>
          <w:color w:val="0070C0"/>
          <w:sz w:val="28"/>
          <w:szCs w:val="28"/>
        </w:rPr>
        <w:t xml:space="preserve">Battery Energy Storge System </w:t>
      </w:r>
      <w:r w:rsidRPr="00E5512E">
        <w:rPr>
          <w:b/>
          <w:bCs/>
          <w:color w:val="0070C0"/>
          <w:sz w:val="28"/>
          <w:szCs w:val="28"/>
        </w:rPr>
        <w:t>is not an identified asset:</w:t>
      </w:r>
    </w:p>
    <w:p w14:paraId="3D82B634" w14:textId="33052EF2" w:rsidR="00E5512E" w:rsidRPr="00E5512E" w:rsidRDefault="00E5512E" w:rsidP="00E5512E">
      <w:pPr>
        <w:numPr>
          <w:ilvl w:val="0"/>
          <w:numId w:val="4"/>
        </w:numPr>
        <w:jc w:val="both"/>
        <w:rPr>
          <w:b/>
          <w:bCs/>
          <w:color w:val="0070C0"/>
          <w:sz w:val="28"/>
          <w:szCs w:val="28"/>
        </w:rPr>
      </w:pPr>
      <w:r w:rsidRPr="00E5512E">
        <w:rPr>
          <w:b/>
          <w:bCs/>
          <w:color w:val="0070C0"/>
          <w:sz w:val="28"/>
          <w:szCs w:val="28"/>
        </w:rPr>
        <w:t xml:space="preserve">The </w:t>
      </w:r>
      <w:r w:rsidRPr="006D66B3">
        <w:rPr>
          <w:b/>
          <w:bCs/>
          <w:color w:val="0070C0"/>
          <w:sz w:val="28"/>
          <w:szCs w:val="28"/>
        </w:rPr>
        <w:t xml:space="preserve">Battery Energy Storage </w:t>
      </w:r>
      <w:r w:rsidRPr="006D66B3">
        <w:rPr>
          <w:b/>
          <w:bCs/>
          <w:color w:val="0070C0"/>
          <w:sz w:val="28"/>
          <w:szCs w:val="28"/>
        </w:rPr>
        <w:t>Systems is</w:t>
      </w:r>
      <w:r w:rsidRPr="00E5512E">
        <w:rPr>
          <w:b/>
          <w:bCs/>
          <w:color w:val="0070C0"/>
          <w:sz w:val="28"/>
          <w:szCs w:val="28"/>
        </w:rPr>
        <w:t xml:space="preserve"> only charged from the renewable generation site.</w:t>
      </w:r>
    </w:p>
    <w:p w14:paraId="5A94ABF3" w14:textId="45B055AF" w:rsidR="00E5512E" w:rsidRPr="00E5512E" w:rsidRDefault="00E5512E" w:rsidP="00E5512E">
      <w:pPr>
        <w:numPr>
          <w:ilvl w:val="0"/>
          <w:numId w:val="4"/>
        </w:numPr>
        <w:jc w:val="both"/>
        <w:rPr>
          <w:b/>
          <w:bCs/>
          <w:color w:val="0070C0"/>
          <w:sz w:val="28"/>
          <w:szCs w:val="28"/>
        </w:rPr>
      </w:pPr>
      <w:r w:rsidRPr="00E5512E">
        <w:rPr>
          <w:b/>
          <w:bCs/>
          <w:color w:val="0070C0"/>
          <w:sz w:val="28"/>
          <w:szCs w:val="28"/>
        </w:rPr>
        <w:t xml:space="preserve">The </w:t>
      </w:r>
      <w:r w:rsidRPr="006D66B3">
        <w:rPr>
          <w:b/>
          <w:bCs/>
          <w:color w:val="0070C0"/>
          <w:sz w:val="28"/>
          <w:szCs w:val="28"/>
        </w:rPr>
        <w:t>Battery Energy Storage Systems </w:t>
      </w:r>
      <w:r w:rsidRPr="00E5512E">
        <w:rPr>
          <w:b/>
          <w:bCs/>
          <w:color w:val="0070C0"/>
          <w:sz w:val="28"/>
          <w:szCs w:val="28"/>
        </w:rPr>
        <w:t>solely functions as part of the integrated system with the renewable energy generation facility and cannot be charged or discharged independently.</w:t>
      </w:r>
    </w:p>
    <w:p w14:paraId="149578EC" w14:textId="448B92B2" w:rsidR="00E5512E" w:rsidRPr="00E5512E" w:rsidRDefault="00E5512E" w:rsidP="00E5512E">
      <w:pPr>
        <w:jc w:val="both"/>
        <w:rPr>
          <w:b/>
          <w:bCs/>
          <w:color w:val="0070C0"/>
          <w:sz w:val="28"/>
          <w:szCs w:val="28"/>
        </w:rPr>
      </w:pPr>
      <w:r w:rsidRPr="00E5512E">
        <w:rPr>
          <w:b/>
          <w:bCs/>
          <w:color w:val="0070C0"/>
          <w:sz w:val="28"/>
          <w:szCs w:val="28"/>
        </w:rPr>
        <w:t>Factors that could indicate the</w:t>
      </w:r>
      <w:r w:rsidRPr="006D66B3">
        <w:rPr>
          <w:b/>
          <w:bCs/>
          <w:color w:val="0070C0"/>
          <w:sz w:val="28"/>
          <w:szCs w:val="28"/>
        </w:rPr>
        <w:t xml:space="preserve"> </w:t>
      </w:r>
      <w:r w:rsidRPr="006D66B3">
        <w:rPr>
          <w:b/>
          <w:bCs/>
          <w:color w:val="0070C0"/>
          <w:sz w:val="28"/>
          <w:szCs w:val="28"/>
        </w:rPr>
        <w:t xml:space="preserve">Battery Energy Storage </w:t>
      </w:r>
      <w:r w:rsidRPr="006D66B3">
        <w:rPr>
          <w:b/>
          <w:bCs/>
          <w:color w:val="0070C0"/>
          <w:sz w:val="28"/>
          <w:szCs w:val="28"/>
        </w:rPr>
        <w:t>Systems is</w:t>
      </w:r>
      <w:r w:rsidRPr="00E5512E">
        <w:rPr>
          <w:b/>
          <w:bCs/>
          <w:color w:val="0070C0"/>
          <w:sz w:val="28"/>
          <w:szCs w:val="28"/>
        </w:rPr>
        <w:t xml:space="preserve"> an identified asset:</w:t>
      </w:r>
    </w:p>
    <w:p w14:paraId="454CC1F0" w14:textId="2E7474D0" w:rsidR="00E5512E" w:rsidRPr="00E5512E" w:rsidRDefault="00E5512E" w:rsidP="00E5512E">
      <w:pPr>
        <w:numPr>
          <w:ilvl w:val="0"/>
          <w:numId w:val="5"/>
        </w:numPr>
        <w:jc w:val="both"/>
        <w:rPr>
          <w:b/>
          <w:bCs/>
          <w:color w:val="0070C0"/>
          <w:sz w:val="28"/>
          <w:szCs w:val="28"/>
        </w:rPr>
      </w:pPr>
      <w:r w:rsidRPr="00E5512E">
        <w:rPr>
          <w:b/>
          <w:bCs/>
          <w:color w:val="0070C0"/>
          <w:sz w:val="28"/>
          <w:szCs w:val="28"/>
        </w:rPr>
        <w:t xml:space="preserve">The </w:t>
      </w:r>
      <w:r w:rsidRPr="006D66B3">
        <w:rPr>
          <w:b/>
          <w:bCs/>
          <w:color w:val="0070C0"/>
          <w:sz w:val="28"/>
          <w:szCs w:val="28"/>
        </w:rPr>
        <w:t>Battery Energy Storage Systems </w:t>
      </w:r>
      <w:r w:rsidRPr="00E5512E">
        <w:rPr>
          <w:b/>
          <w:bCs/>
          <w:color w:val="0070C0"/>
          <w:sz w:val="28"/>
          <w:szCs w:val="28"/>
        </w:rPr>
        <w:t>can be charged from the electric grid or some other method outside of the renewable energy generation site.</w:t>
      </w:r>
    </w:p>
    <w:p w14:paraId="2CB8E39D" w14:textId="79F7CF8E" w:rsidR="00E5512E" w:rsidRPr="00E5512E" w:rsidRDefault="00E5512E" w:rsidP="00E5512E">
      <w:pPr>
        <w:numPr>
          <w:ilvl w:val="0"/>
          <w:numId w:val="5"/>
        </w:numPr>
        <w:jc w:val="both"/>
        <w:rPr>
          <w:b/>
          <w:bCs/>
          <w:color w:val="0070C0"/>
          <w:sz w:val="28"/>
          <w:szCs w:val="28"/>
        </w:rPr>
      </w:pPr>
      <w:r w:rsidRPr="00E5512E">
        <w:rPr>
          <w:b/>
          <w:bCs/>
          <w:color w:val="0070C0"/>
          <w:sz w:val="28"/>
          <w:szCs w:val="28"/>
        </w:rPr>
        <w:t xml:space="preserve">The </w:t>
      </w:r>
      <w:r w:rsidRPr="006D66B3">
        <w:rPr>
          <w:b/>
          <w:bCs/>
          <w:color w:val="0070C0"/>
          <w:sz w:val="28"/>
          <w:szCs w:val="28"/>
        </w:rPr>
        <w:t>Battery Energy Storage Systems </w:t>
      </w:r>
      <w:r w:rsidRPr="00E5512E">
        <w:rPr>
          <w:b/>
          <w:bCs/>
          <w:color w:val="0070C0"/>
          <w:sz w:val="28"/>
          <w:szCs w:val="28"/>
        </w:rPr>
        <w:t>can be dispatched</w:t>
      </w:r>
      <w:r w:rsidR="003C1C8E" w:rsidRPr="006D66B3">
        <w:rPr>
          <w:b/>
          <w:bCs/>
          <w:color w:val="0070C0"/>
          <w:sz w:val="28"/>
          <w:szCs w:val="28"/>
        </w:rPr>
        <w:t>/</w:t>
      </w:r>
      <w:r w:rsidRPr="00E5512E">
        <w:rPr>
          <w:b/>
          <w:bCs/>
          <w:color w:val="0070C0"/>
          <w:sz w:val="28"/>
          <w:szCs w:val="28"/>
        </w:rPr>
        <w:t>used independently of the operation of the renewable energy generation site.</w:t>
      </w:r>
    </w:p>
    <w:p w14:paraId="4C00C631" w14:textId="04A45AD3" w:rsidR="00E5512E" w:rsidRPr="00E5512E" w:rsidRDefault="00E5512E" w:rsidP="00E5512E">
      <w:pPr>
        <w:numPr>
          <w:ilvl w:val="0"/>
          <w:numId w:val="5"/>
        </w:numPr>
        <w:jc w:val="both"/>
        <w:rPr>
          <w:b/>
          <w:bCs/>
          <w:color w:val="0070C0"/>
          <w:sz w:val="28"/>
          <w:szCs w:val="28"/>
        </w:rPr>
      </w:pPr>
      <w:r w:rsidRPr="00E5512E">
        <w:rPr>
          <w:b/>
          <w:bCs/>
          <w:color w:val="0070C0"/>
          <w:sz w:val="28"/>
          <w:szCs w:val="28"/>
        </w:rPr>
        <w:t xml:space="preserve">The </w:t>
      </w:r>
      <w:r w:rsidRPr="006D66B3">
        <w:rPr>
          <w:b/>
          <w:bCs/>
          <w:color w:val="0070C0"/>
          <w:sz w:val="28"/>
          <w:szCs w:val="28"/>
        </w:rPr>
        <w:t>Battery Energy Storage Systems </w:t>
      </w:r>
      <w:r w:rsidRPr="00E5512E">
        <w:rPr>
          <w:b/>
          <w:bCs/>
          <w:color w:val="0070C0"/>
          <w:sz w:val="28"/>
          <w:szCs w:val="28"/>
        </w:rPr>
        <w:t>can be curtailed by the grid operating authority independently of curtailment orders with the renewable energy generation site.</w:t>
      </w:r>
    </w:p>
    <w:p w14:paraId="44FA22A5" w14:textId="3737CD3C" w:rsidR="00E5512E" w:rsidRPr="006D66B3" w:rsidRDefault="00EB3EA6" w:rsidP="00BF43E3">
      <w:pPr>
        <w:jc w:val="both"/>
        <w:rPr>
          <w:b/>
          <w:bCs/>
          <w:color w:val="0070C0"/>
          <w:sz w:val="28"/>
          <w:szCs w:val="28"/>
        </w:rPr>
      </w:pPr>
      <w:r w:rsidRPr="006D66B3">
        <w:rPr>
          <w:b/>
          <w:bCs/>
          <w:color w:val="0070C0"/>
          <w:sz w:val="28"/>
          <w:szCs w:val="28"/>
        </w:rPr>
        <w:lastRenderedPageBreak/>
        <w:t xml:space="preserve">The considerations above are not all-inclusive and there could be other factors that warrant consideration in determining if the </w:t>
      </w:r>
      <w:r w:rsidR="003C1C8E" w:rsidRPr="006D66B3">
        <w:rPr>
          <w:b/>
          <w:bCs/>
          <w:color w:val="0070C0"/>
          <w:sz w:val="28"/>
          <w:szCs w:val="28"/>
        </w:rPr>
        <w:t xml:space="preserve">Battery Energy Storage System </w:t>
      </w:r>
      <w:r w:rsidRPr="006D66B3">
        <w:rPr>
          <w:b/>
          <w:bCs/>
          <w:color w:val="0070C0"/>
          <w:sz w:val="28"/>
          <w:szCs w:val="28"/>
        </w:rPr>
        <w:t>can be operated independently, even if that is not how it is generally functioning.</w:t>
      </w:r>
    </w:p>
    <w:p w14:paraId="07C82F70" w14:textId="77777777" w:rsidR="006635B1" w:rsidRPr="006635B1" w:rsidRDefault="006635B1" w:rsidP="006635B1">
      <w:pPr>
        <w:jc w:val="both"/>
        <w:rPr>
          <w:b/>
          <w:bCs/>
          <w:color w:val="0070C0"/>
          <w:sz w:val="28"/>
          <w:szCs w:val="28"/>
        </w:rPr>
      </w:pPr>
      <w:r w:rsidRPr="006635B1">
        <w:rPr>
          <w:b/>
          <w:bCs/>
          <w:color w:val="0070C0"/>
          <w:sz w:val="28"/>
          <w:szCs w:val="28"/>
        </w:rPr>
        <w:t>To determine who controls the asset by directing its use, it is necessary to identify the decision-making rights that impact the economic benefits to be derived from the asset. Examples of decision-making rights that grant the right to direct how and for what purpose an asset is used and, therefore, impact the economic benefits derived from the asset include:</w:t>
      </w:r>
    </w:p>
    <w:p w14:paraId="25D0A2DF" w14:textId="77777777" w:rsidR="006635B1" w:rsidRPr="006635B1" w:rsidRDefault="006635B1" w:rsidP="006635B1">
      <w:pPr>
        <w:numPr>
          <w:ilvl w:val="0"/>
          <w:numId w:val="6"/>
        </w:numPr>
        <w:jc w:val="both"/>
        <w:rPr>
          <w:b/>
          <w:bCs/>
          <w:color w:val="0070C0"/>
          <w:sz w:val="28"/>
          <w:szCs w:val="28"/>
        </w:rPr>
      </w:pPr>
      <w:r w:rsidRPr="006635B1">
        <w:rPr>
          <w:b/>
          <w:bCs/>
          <w:color w:val="0070C0"/>
          <w:sz w:val="28"/>
          <w:szCs w:val="28"/>
        </w:rPr>
        <w:t>The right to change the type of output that is produced by the asset.</w:t>
      </w:r>
    </w:p>
    <w:p w14:paraId="50050DEB" w14:textId="77777777" w:rsidR="006635B1" w:rsidRPr="006635B1" w:rsidRDefault="006635B1" w:rsidP="006635B1">
      <w:pPr>
        <w:numPr>
          <w:ilvl w:val="0"/>
          <w:numId w:val="6"/>
        </w:numPr>
        <w:jc w:val="both"/>
        <w:rPr>
          <w:b/>
          <w:bCs/>
          <w:color w:val="0070C0"/>
          <w:sz w:val="28"/>
          <w:szCs w:val="28"/>
        </w:rPr>
      </w:pPr>
      <w:r w:rsidRPr="006635B1">
        <w:rPr>
          <w:b/>
          <w:bCs/>
          <w:color w:val="0070C0"/>
          <w:sz w:val="28"/>
          <w:szCs w:val="28"/>
        </w:rPr>
        <w:t>The right to change when the output is produced.</w:t>
      </w:r>
    </w:p>
    <w:p w14:paraId="6CF3C018" w14:textId="77777777" w:rsidR="006635B1" w:rsidRPr="006635B1" w:rsidRDefault="006635B1" w:rsidP="006635B1">
      <w:pPr>
        <w:numPr>
          <w:ilvl w:val="0"/>
          <w:numId w:val="6"/>
        </w:numPr>
        <w:jc w:val="both"/>
        <w:rPr>
          <w:b/>
          <w:bCs/>
          <w:color w:val="0070C0"/>
          <w:sz w:val="28"/>
          <w:szCs w:val="28"/>
        </w:rPr>
      </w:pPr>
      <w:r w:rsidRPr="006635B1">
        <w:rPr>
          <w:b/>
          <w:bCs/>
          <w:color w:val="0070C0"/>
          <w:sz w:val="28"/>
          <w:szCs w:val="28"/>
        </w:rPr>
        <w:t>The right to change where the output is produced.</w:t>
      </w:r>
    </w:p>
    <w:p w14:paraId="5E1D3CBF" w14:textId="77777777" w:rsidR="006635B1" w:rsidRPr="006635B1" w:rsidRDefault="006635B1" w:rsidP="006635B1">
      <w:pPr>
        <w:numPr>
          <w:ilvl w:val="0"/>
          <w:numId w:val="6"/>
        </w:numPr>
        <w:jc w:val="both"/>
        <w:rPr>
          <w:b/>
          <w:bCs/>
          <w:color w:val="0070C0"/>
          <w:sz w:val="28"/>
          <w:szCs w:val="28"/>
        </w:rPr>
      </w:pPr>
      <w:r w:rsidRPr="006635B1">
        <w:rPr>
          <w:b/>
          <w:bCs/>
          <w:color w:val="0070C0"/>
          <w:sz w:val="28"/>
          <w:szCs w:val="28"/>
        </w:rPr>
        <w:t>The right to change whether the output is produced and the quantity of that output.</w:t>
      </w:r>
    </w:p>
    <w:p w14:paraId="113EF5BF" w14:textId="59657AF8" w:rsidR="00E5512E" w:rsidRPr="006D66B3" w:rsidRDefault="006635B1" w:rsidP="00BF43E3">
      <w:pPr>
        <w:jc w:val="both"/>
        <w:rPr>
          <w:b/>
          <w:bCs/>
          <w:color w:val="0070C0"/>
          <w:sz w:val="28"/>
          <w:szCs w:val="28"/>
        </w:rPr>
      </w:pPr>
      <w:r w:rsidRPr="006D66B3">
        <w:rPr>
          <w:b/>
          <w:bCs/>
          <w:color w:val="0070C0"/>
          <w:sz w:val="28"/>
          <w:szCs w:val="28"/>
        </w:rPr>
        <w:t>In some arrangements, how and for what purpose the asset is used is explicitly outlined in the terms of the contract. In those arrangements, the decisions are predetermined and cannot be made during the use of the asset. Predetermined decisions are ignored in the control assessment as long as there are relevant decisions that could be made during the period of use. However, predetermined decisions are considered in the control assessment when there are no relevant decision-making rights that can be made during the period of use.</w:t>
      </w:r>
    </w:p>
    <w:p w14:paraId="0695EEA3" w14:textId="4DB58FE5" w:rsidR="006635B1" w:rsidRPr="006D66B3" w:rsidRDefault="006635B1" w:rsidP="00BF43E3">
      <w:pPr>
        <w:jc w:val="both"/>
        <w:rPr>
          <w:b/>
          <w:bCs/>
          <w:color w:val="0070C0"/>
          <w:sz w:val="28"/>
          <w:szCs w:val="28"/>
        </w:rPr>
      </w:pPr>
      <w:r w:rsidRPr="006D66B3">
        <w:rPr>
          <w:b/>
          <w:bCs/>
          <w:color w:val="0070C0"/>
          <w:sz w:val="28"/>
          <w:szCs w:val="28"/>
        </w:rPr>
        <w:t>Therefore, it is necessary to examine f</w:t>
      </w:r>
      <w:r w:rsidRPr="006D66B3">
        <w:rPr>
          <w:b/>
          <w:bCs/>
          <w:color w:val="0070C0"/>
          <w:sz w:val="28"/>
          <w:szCs w:val="28"/>
        </w:rPr>
        <w:t xml:space="preserve">actors that could indicate the customer controls the </w:t>
      </w:r>
      <w:r w:rsidRPr="006D66B3">
        <w:rPr>
          <w:b/>
          <w:bCs/>
          <w:color w:val="0070C0"/>
          <w:sz w:val="28"/>
          <w:szCs w:val="28"/>
        </w:rPr>
        <w:t>Battery Energy Storage System and f</w:t>
      </w:r>
      <w:r w:rsidRPr="006D66B3">
        <w:rPr>
          <w:b/>
          <w:bCs/>
          <w:color w:val="0070C0"/>
          <w:sz w:val="28"/>
          <w:szCs w:val="28"/>
        </w:rPr>
        <w:t>actors that could indicate the customer does not control the</w:t>
      </w:r>
      <w:r w:rsidRPr="006D66B3">
        <w:rPr>
          <w:b/>
          <w:bCs/>
          <w:color w:val="0070C0"/>
          <w:sz w:val="28"/>
          <w:szCs w:val="28"/>
        </w:rPr>
        <w:t xml:space="preserve"> Battery Energy Storage Systems. </w:t>
      </w:r>
    </w:p>
    <w:p w14:paraId="3E05C44C" w14:textId="16E9DFBD" w:rsidR="006635B1" w:rsidRPr="006D66B3" w:rsidRDefault="006635B1" w:rsidP="00BF43E3">
      <w:pPr>
        <w:jc w:val="both"/>
        <w:rPr>
          <w:b/>
          <w:bCs/>
          <w:color w:val="0070C0"/>
          <w:sz w:val="28"/>
          <w:szCs w:val="28"/>
        </w:rPr>
      </w:pPr>
      <w:r w:rsidRPr="006D66B3">
        <w:rPr>
          <w:b/>
          <w:bCs/>
          <w:color w:val="0070C0"/>
          <w:sz w:val="28"/>
          <w:szCs w:val="28"/>
        </w:rPr>
        <w:t xml:space="preserve">Both parties in a customer off-take arrangement involving a </w:t>
      </w:r>
      <w:r w:rsidRPr="006D66B3">
        <w:rPr>
          <w:b/>
          <w:bCs/>
          <w:color w:val="0070C0"/>
          <w:sz w:val="28"/>
          <w:szCs w:val="28"/>
        </w:rPr>
        <w:t xml:space="preserve">Battery Energy Storage System </w:t>
      </w:r>
      <w:r w:rsidRPr="006D66B3">
        <w:rPr>
          <w:b/>
          <w:bCs/>
          <w:color w:val="0070C0"/>
          <w:sz w:val="28"/>
          <w:szCs w:val="28"/>
        </w:rPr>
        <w:t xml:space="preserve">will need to carefully assess the agreement to determine the appropriate accounting and financial reporting elements. There will not be a one-size-fits-all approach to a Battery Energy Storage System as the individual terms of each contract could significantly impact the accounting treatment. </w:t>
      </w:r>
    </w:p>
    <w:p w14:paraId="2B4DE2B0" w14:textId="2A819DB0" w:rsidR="001D6677" w:rsidRPr="006D66B3" w:rsidRDefault="006635B1" w:rsidP="00BF43E3">
      <w:pPr>
        <w:jc w:val="both"/>
        <w:rPr>
          <w:b/>
          <w:bCs/>
          <w:color w:val="0070C0"/>
          <w:sz w:val="28"/>
          <w:szCs w:val="28"/>
        </w:rPr>
      </w:pPr>
      <w:r w:rsidRPr="006D66B3">
        <w:rPr>
          <w:b/>
          <w:bCs/>
          <w:color w:val="0070C0"/>
          <w:sz w:val="28"/>
          <w:szCs w:val="28"/>
        </w:rPr>
        <w:lastRenderedPageBreak/>
        <w:t xml:space="preserve">In view of the above, </w:t>
      </w:r>
      <w:r w:rsidR="007E58BB" w:rsidRPr="006D66B3">
        <w:rPr>
          <w:b/>
          <w:bCs/>
          <w:color w:val="0070C0"/>
          <w:sz w:val="28"/>
          <w:szCs w:val="28"/>
        </w:rPr>
        <w:t xml:space="preserve">it is opined that </w:t>
      </w:r>
      <w:r w:rsidRPr="006D66B3">
        <w:rPr>
          <w:b/>
          <w:bCs/>
          <w:color w:val="0070C0"/>
          <w:sz w:val="28"/>
          <w:szCs w:val="28"/>
        </w:rPr>
        <w:t xml:space="preserve">the Committee has </w:t>
      </w:r>
      <w:r w:rsidR="007E58BB" w:rsidRPr="006D66B3">
        <w:rPr>
          <w:b/>
          <w:bCs/>
          <w:color w:val="0070C0"/>
          <w:sz w:val="28"/>
          <w:szCs w:val="28"/>
        </w:rPr>
        <w:t xml:space="preserve">to </w:t>
      </w:r>
      <w:r w:rsidR="007E58BB" w:rsidRPr="006D66B3">
        <w:rPr>
          <w:b/>
          <w:bCs/>
          <w:color w:val="0070C0"/>
          <w:sz w:val="28"/>
          <w:szCs w:val="28"/>
        </w:rPr>
        <w:t>analyse the application of paragraph B9(b) of IFRS 16</w:t>
      </w:r>
      <w:r w:rsidR="007E58BB" w:rsidRPr="006D66B3">
        <w:rPr>
          <w:b/>
          <w:bCs/>
          <w:color w:val="0070C0"/>
          <w:sz w:val="28"/>
          <w:szCs w:val="28"/>
        </w:rPr>
        <w:t xml:space="preserve"> where the retailer has no </w:t>
      </w:r>
      <w:r w:rsidR="007E58BB" w:rsidRPr="006D66B3">
        <w:rPr>
          <w:b/>
          <w:bCs/>
          <w:color w:val="0070C0"/>
          <w:sz w:val="28"/>
          <w:szCs w:val="28"/>
        </w:rPr>
        <w:t>right to direct the use of an identified asset</w:t>
      </w:r>
      <w:r w:rsidR="007E58BB" w:rsidRPr="006D66B3">
        <w:rPr>
          <w:b/>
          <w:bCs/>
          <w:color w:val="0070C0"/>
          <w:sz w:val="28"/>
          <w:szCs w:val="28"/>
        </w:rPr>
        <w:t>.</w:t>
      </w:r>
    </w:p>
    <w:p w14:paraId="68766FBF" w14:textId="77777777" w:rsidR="001D6677" w:rsidRDefault="001D6677" w:rsidP="00BF43E3">
      <w:pPr>
        <w:jc w:val="both"/>
        <w:rPr>
          <w:sz w:val="28"/>
          <w:szCs w:val="28"/>
        </w:rPr>
      </w:pPr>
    </w:p>
    <w:p w14:paraId="561F6266" w14:textId="4E6317B4" w:rsidR="00BF43E3" w:rsidRPr="00BF43E3" w:rsidRDefault="008B038D" w:rsidP="008B038D">
      <w:pPr>
        <w:jc w:val="center"/>
        <w:rPr>
          <w:sz w:val="44"/>
          <w:szCs w:val="44"/>
        </w:rPr>
      </w:pPr>
      <w:r w:rsidRPr="008B038D">
        <w:rPr>
          <w:b/>
          <w:bCs/>
        </w:rPr>
        <w:drawing>
          <wp:inline distT="0" distB="0" distL="0" distR="0" wp14:anchorId="79976C79" wp14:editId="4C931E62">
            <wp:extent cx="5731510" cy="276225"/>
            <wp:effectExtent l="0" t="0" r="0" b="0"/>
            <wp:docPr id="63802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276225"/>
                    </a:xfrm>
                    <a:prstGeom prst="rect">
                      <a:avLst/>
                    </a:prstGeom>
                    <a:noFill/>
                    <a:ln>
                      <a:noFill/>
                    </a:ln>
                  </pic:spPr>
                </pic:pic>
              </a:graphicData>
            </a:graphic>
          </wp:inline>
        </w:drawing>
      </w:r>
    </w:p>
    <w:sectPr w:rsidR="00BF43E3" w:rsidRPr="00BF43E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E18471" w14:textId="77777777" w:rsidR="00006CCB" w:rsidRDefault="00006CCB" w:rsidP="00E00450">
      <w:pPr>
        <w:spacing w:after="0" w:line="240" w:lineRule="auto"/>
      </w:pPr>
      <w:r>
        <w:separator/>
      </w:r>
    </w:p>
  </w:endnote>
  <w:endnote w:type="continuationSeparator" w:id="0">
    <w:p w14:paraId="17F32B7A" w14:textId="77777777" w:rsidR="00006CCB" w:rsidRDefault="00006CCB" w:rsidP="00E004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3572730"/>
      <w:docPartObj>
        <w:docPartGallery w:val="Page Numbers (Bottom of Page)"/>
        <w:docPartUnique/>
      </w:docPartObj>
    </w:sdtPr>
    <w:sdtEndPr>
      <w:rPr>
        <w:noProof/>
      </w:rPr>
    </w:sdtEndPr>
    <w:sdtContent>
      <w:p w14:paraId="3AC8F92D" w14:textId="69AA8B28" w:rsidR="00E00450" w:rsidRDefault="00E0045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11F5BD" w14:textId="77777777" w:rsidR="00E00450" w:rsidRDefault="00E004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6A831E" w14:textId="77777777" w:rsidR="00006CCB" w:rsidRDefault="00006CCB" w:rsidP="00E00450">
      <w:pPr>
        <w:spacing w:after="0" w:line="240" w:lineRule="auto"/>
      </w:pPr>
      <w:r>
        <w:separator/>
      </w:r>
    </w:p>
  </w:footnote>
  <w:footnote w:type="continuationSeparator" w:id="0">
    <w:p w14:paraId="0869A081" w14:textId="77777777" w:rsidR="00006CCB" w:rsidRDefault="00006CCB" w:rsidP="00E004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A6211B"/>
    <w:multiLevelType w:val="multilevel"/>
    <w:tmpl w:val="7B169A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A083125"/>
    <w:multiLevelType w:val="hybridMultilevel"/>
    <w:tmpl w:val="30B4B05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F93611B"/>
    <w:multiLevelType w:val="hybridMultilevel"/>
    <w:tmpl w:val="5A98F6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5AA5AA9"/>
    <w:multiLevelType w:val="hybridMultilevel"/>
    <w:tmpl w:val="04A21B4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42D54FD"/>
    <w:multiLevelType w:val="multilevel"/>
    <w:tmpl w:val="83CCA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50241E4"/>
    <w:multiLevelType w:val="multilevel"/>
    <w:tmpl w:val="305C8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76642382">
    <w:abstractNumId w:val="2"/>
  </w:num>
  <w:num w:numId="2" w16cid:durableId="1785151475">
    <w:abstractNumId w:val="3"/>
  </w:num>
  <w:num w:numId="3" w16cid:durableId="1408726688">
    <w:abstractNumId w:val="1"/>
  </w:num>
  <w:num w:numId="4" w16cid:durableId="2047291377">
    <w:abstractNumId w:val="4"/>
  </w:num>
  <w:num w:numId="5" w16cid:durableId="893194416">
    <w:abstractNumId w:val="5"/>
  </w:num>
  <w:num w:numId="6" w16cid:durableId="1979647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3E3"/>
    <w:rsid w:val="00006CCB"/>
    <w:rsid w:val="001850B0"/>
    <w:rsid w:val="001D6677"/>
    <w:rsid w:val="003207CC"/>
    <w:rsid w:val="003C1C8E"/>
    <w:rsid w:val="00547898"/>
    <w:rsid w:val="006231A9"/>
    <w:rsid w:val="006635B1"/>
    <w:rsid w:val="006D66B3"/>
    <w:rsid w:val="007E58BB"/>
    <w:rsid w:val="008B038D"/>
    <w:rsid w:val="00A7198A"/>
    <w:rsid w:val="00BF43E3"/>
    <w:rsid w:val="00D30890"/>
    <w:rsid w:val="00E00450"/>
    <w:rsid w:val="00E5512E"/>
    <w:rsid w:val="00EB3EA6"/>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39CE5"/>
  <w15:chartTrackingRefBased/>
  <w15:docId w15:val="{55673458-2DBC-44B7-9282-145575B7A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ta-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43E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43E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43E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43E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43E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43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43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43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43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43E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43E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43E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43E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43E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43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43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43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43E3"/>
    <w:rPr>
      <w:rFonts w:eastAsiaTheme="majorEastAsia" w:cstheme="majorBidi"/>
      <w:color w:val="272727" w:themeColor="text1" w:themeTint="D8"/>
    </w:rPr>
  </w:style>
  <w:style w:type="paragraph" w:styleId="Title">
    <w:name w:val="Title"/>
    <w:basedOn w:val="Normal"/>
    <w:next w:val="Normal"/>
    <w:link w:val="TitleChar"/>
    <w:uiPriority w:val="10"/>
    <w:qFormat/>
    <w:rsid w:val="00BF43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43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43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43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43E3"/>
    <w:pPr>
      <w:spacing w:before="160"/>
      <w:jc w:val="center"/>
    </w:pPr>
    <w:rPr>
      <w:i/>
      <w:iCs/>
      <w:color w:val="404040" w:themeColor="text1" w:themeTint="BF"/>
    </w:rPr>
  </w:style>
  <w:style w:type="character" w:customStyle="1" w:styleId="QuoteChar">
    <w:name w:val="Quote Char"/>
    <w:basedOn w:val="DefaultParagraphFont"/>
    <w:link w:val="Quote"/>
    <w:uiPriority w:val="29"/>
    <w:rsid w:val="00BF43E3"/>
    <w:rPr>
      <w:i/>
      <w:iCs/>
      <w:color w:val="404040" w:themeColor="text1" w:themeTint="BF"/>
    </w:rPr>
  </w:style>
  <w:style w:type="paragraph" w:styleId="ListParagraph">
    <w:name w:val="List Paragraph"/>
    <w:basedOn w:val="Normal"/>
    <w:uiPriority w:val="34"/>
    <w:qFormat/>
    <w:rsid w:val="00BF43E3"/>
    <w:pPr>
      <w:ind w:left="720"/>
      <w:contextualSpacing/>
    </w:pPr>
  </w:style>
  <w:style w:type="character" w:styleId="IntenseEmphasis">
    <w:name w:val="Intense Emphasis"/>
    <w:basedOn w:val="DefaultParagraphFont"/>
    <w:uiPriority w:val="21"/>
    <w:qFormat/>
    <w:rsid w:val="00BF43E3"/>
    <w:rPr>
      <w:i/>
      <w:iCs/>
      <w:color w:val="2F5496" w:themeColor="accent1" w:themeShade="BF"/>
    </w:rPr>
  </w:style>
  <w:style w:type="paragraph" w:styleId="IntenseQuote">
    <w:name w:val="Intense Quote"/>
    <w:basedOn w:val="Normal"/>
    <w:next w:val="Normal"/>
    <w:link w:val="IntenseQuoteChar"/>
    <w:uiPriority w:val="30"/>
    <w:qFormat/>
    <w:rsid w:val="00BF43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43E3"/>
    <w:rPr>
      <w:i/>
      <w:iCs/>
      <w:color w:val="2F5496" w:themeColor="accent1" w:themeShade="BF"/>
    </w:rPr>
  </w:style>
  <w:style w:type="character" w:styleId="IntenseReference">
    <w:name w:val="Intense Reference"/>
    <w:basedOn w:val="DefaultParagraphFont"/>
    <w:uiPriority w:val="32"/>
    <w:qFormat/>
    <w:rsid w:val="00BF43E3"/>
    <w:rPr>
      <w:b/>
      <w:bCs/>
      <w:smallCaps/>
      <w:color w:val="2F5496" w:themeColor="accent1" w:themeShade="BF"/>
      <w:spacing w:val="5"/>
    </w:rPr>
  </w:style>
  <w:style w:type="character" w:styleId="Hyperlink">
    <w:name w:val="Hyperlink"/>
    <w:basedOn w:val="DefaultParagraphFont"/>
    <w:uiPriority w:val="99"/>
    <w:unhideWhenUsed/>
    <w:rsid w:val="001850B0"/>
    <w:rPr>
      <w:color w:val="0563C1" w:themeColor="hyperlink"/>
      <w:u w:val="single"/>
    </w:rPr>
  </w:style>
  <w:style w:type="character" w:styleId="UnresolvedMention">
    <w:name w:val="Unresolved Mention"/>
    <w:basedOn w:val="DefaultParagraphFont"/>
    <w:uiPriority w:val="99"/>
    <w:semiHidden/>
    <w:unhideWhenUsed/>
    <w:rsid w:val="001850B0"/>
    <w:rPr>
      <w:color w:val="605E5C"/>
      <w:shd w:val="clear" w:color="auto" w:fill="E1DFDD"/>
    </w:rPr>
  </w:style>
  <w:style w:type="paragraph" w:styleId="NormalWeb">
    <w:name w:val="Normal (Web)"/>
    <w:basedOn w:val="Normal"/>
    <w:uiPriority w:val="99"/>
    <w:semiHidden/>
    <w:unhideWhenUsed/>
    <w:rsid w:val="003207CC"/>
    <w:rPr>
      <w:rFonts w:ascii="Times New Roman" w:hAnsi="Times New Roman" w:cs="Times New Roman"/>
    </w:rPr>
  </w:style>
  <w:style w:type="paragraph" w:styleId="Header">
    <w:name w:val="header"/>
    <w:basedOn w:val="Normal"/>
    <w:link w:val="HeaderChar"/>
    <w:uiPriority w:val="99"/>
    <w:unhideWhenUsed/>
    <w:rsid w:val="00E004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0450"/>
  </w:style>
  <w:style w:type="paragraph" w:styleId="Footer">
    <w:name w:val="footer"/>
    <w:basedOn w:val="Normal"/>
    <w:link w:val="FooterChar"/>
    <w:uiPriority w:val="99"/>
    <w:unhideWhenUsed/>
    <w:rsid w:val="00E004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04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304</TotalTime>
  <Pages>5</Pages>
  <Words>903</Words>
  <Characters>5152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vinoth</dc:creator>
  <cp:keywords/>
  <dc:description/>
  <cp:lastModifiedBy>d vinoth</cp:lastModifiedBy>
  <cp:revision>7</cp:revision>
  <dcterms:created xsi:type="dcterms:W3CDTF">2025-11-04T04:26:00Z</dcterms:created>
  <dcterms:modified xsi:type="dcterms:W3CDTF">2025-11-04T09:30:00Z</dcterms:modified>
</cp:coreProperties>
</file>